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sz w:val="32"/>
          <w:szCs w:val="32"/>
          <w:rtl w:val="0"/>
        </w:rPr>
        <w:t xml:space="preserve">Halle Tucker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</w:rPr>
      </w:pPr>
      <w:hyperlink r:id="rId6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https://www.htuckerart.com/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tuckerhe@mail.uc.edu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2021-2025</w:t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ab/>
        <w:t xml:space="preserve">BFA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University of Cincinnati, Cincinnati, OH.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2017-2021,</w:t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High School Diploma,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Parkway Central High School, Chesterfield, MO.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br w:type="textWrapping"/>
        <w:t xml:space="preserve">Exhibitions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2024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Fields of Experience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Tabula 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Rosa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Gallery, Cincinnati, OH.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2023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Grow Up!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Tabula 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Rosa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Gallery, Cincinnati, OH.</w:t>
      </w:r>
    </w:p>
    <w:p w:rsidR="00000000" w:rsidDel="00000000" w:rsidP="00000000" w:rsidRDefault="00000000" w:rsidRPr="00000000" w14:paraId="0000000D">
      <w:pPr>
        <w:ind w:right="-360"/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2023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Creative Failures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Robert A Deshon &amp; Karl Schlachter Library, Cincinnati, OH.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2020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Self Portrait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Queeny Park Art Show, St. Louis, MO.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2019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Still Life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Queeny Park Art Show, St. Louis, MO.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2018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$5.47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Queeny Park Art Show, St. Louis, MO.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2021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Studio Artist Award,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Parkway Central High School, Chesterfield MO.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2019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Queeny Park Art Award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 Queeny Park Art Show, St. Louis, MO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Professional Experience </w:t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2024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Craft Alliance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Arts Administration Intern</w:t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2024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Tucker Art &amp; Design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Shop Owner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2024</w:t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ab/>
        <w:t xml:space="preserve">Relativity Textiles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Production Assistant</w:t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2021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Camp Emeth,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Senior Art Specialist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Community Projects</w:t>
      </w:r>
    </w:p>
    <w:p w:rsidR="00000000" w:rsidDel="00000000" w:rsidP="00000000" w:rsidRDefault="00000000" w:rsidRPr="00000000" w14:paraId="0000001F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venir" w:cs="Avenir" w:eastAsia="Avenir" w:hAnsi="Avenir"/>
          <w:color w:val="323232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2024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Sumner Senior Corner,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 In Partnership with Craft Alliance at Local Schools</w:t>
      </w:r>
    </w:p>
    <w:p w:rsidR="00000000" w:rsidDel="00000000" w:rsidP="00000000" w:rsidRDefault="00000000" w:rsidRPr="00000000" w14:paraId="0000002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2021</w:t>
        <w:tab/>
        <w:tab/>
      </w:r>
      <w:r w:rsidDel="00000000" w:rsidR="00000000" w:rsidRPr="00000000">
        <w:rPr>
          <w:rFonts w:ascii="Avenir" w:cs="Avenir" w:eastAsia="Avenir" w:hAnsi="Avenir"/>
          <w:i w:val="1"/>
          <w:color w:val="323232"/>
          <w:sz w:val="24"/>
          <w:szCs w:val="24"/>
          <w:rtl w:val="0"/>
        </w:rPr>
        <w:t xml:space="preserve">Panorama</w:t>
      </w:r>
      <w:r w:rsidDel="00000000" w:rsidR="00000000" w:rsidRPr="00000000">
        <w:rPr>
          <w:rFonts w:ascii="Avenir" w:cs="Avenir" w:eastAsia="Avenir" w:hAnsi="Avenir"/>
          <w:color w:val="323232"/>
          <w:sz w:val="24"/>
          <w:szCs w:val="24"/>
          <w:rtl w:val="0"/>
        </w:rPr>
        <w:t xml:space="preserve">, In Partnership with Artist Edo Rosenblith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tucker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